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ascii="Times New Roman" w:hAnsi="Times New Roman" w:eastAsia="宋体" w:cs="Times New Roman"/>
          <w:sz w:val="24"/>
          <w:szCs w:val="24"/>
        </w:rPr>
      </w:pPr>
      <w:bookmarkStart w:id="2" w:name="_GoBack"/>
      <w:r>
        <w:rPr>
          <w:rFonts w:ascii="Times New Roman" w:hAnsi="Times New Roman" w:eastAsia="宋体" w:cs="Times New Roman"/>
          <w:sz w:val="24"/>
          <w:szCs w:val="24"/>
        </w:rPr>
        <w:t>Mycoplasma contamination</w:t>
      </w:r>
      <w:bookmarkEnd w:id="2"/>
      <w:r>
        <w:rPr>
          <w:rFonts w:ascii="Times New Roman" w:hAnsi="Times New Roman" w:eastAsia="宋体" w:cs="Times New Roman"/>
          <w:sz w:val="24"/>
          <w:szCs w:val="24"/>
        </w:rPr>
        <w:t xml:space="preserve"> was detected by PCR using a mycoplasma detection kit （Takara, CY232, </w:t>
      </w:r>
      <w:r>
        <w:rPr>
          <w:rFonts w:ascii="Times New Roman" w:hAnsi="Times New Roman" w:eastAsia="宋体" w:cs="Times New Roman"/>
          <w:sz w:val="24"/>
          <w:szCs w:val="24"/>
          <w:lang w:bidi="en-US"/>
        </w:rPr>
        <w:t>Tokyo, Japan）</w:t>
      </w:r>
      <w:r>
        <w:rPr>
          <w:rFonts w:ascii="Times New Roman" w:hAnsi="Times New Roman" w:eastAsia="宋体" w:cs="Times New Roman"/>
          <w:sz w:val="24"/>
          <w:szCs w:val="24"/>
        </w:rPr>
        <w:t xml:space="preserve"> according to the manufacturer's instructions. The results showed that ARPE-19 cells were free of mycoplasma contamination. The following are the test results.</w:t>
      </w:r>
    </w:p>
    <w:p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5937250" cy="3028950"/>
            <wp:effectExtent l="0" t="0" r="635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4498"/>
                    <a:stretch>
                      <a:fillRect/>
                    </a:stretch>
                  </pic:blipFill>
                  <pic:spPr>
                    <a:xfrm>
                      <a:off x="0" y="0"/>
                      <a:ext cx="5957604" cy="3039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ascii="Times New Roman" w:hAnsi="Times New Roman" w:cs="Times New Roman"/>
          <w:sz w:val="24"/>
          <w:szCs w:val="24"/>
        </w:rPr>
      </w:pPr>
      <w:r>
        <w:rPr>
          <w:rFonts w:hint="eastAsia" w:ascii="Times New Roman" w:hAnsi="Times New Roman" w:cs="Times New Roman"/>
          <w:sz w:val="24"/>
          <w:szCs w:val="24"/>
        </w:rPr>
        <w:t>F</w:t>
      </w:r>
      <w:r>
        <w:rPr>
          <w:rFonts w:ascii="Times New Roman" w:hAnsi="Times New Roman" w:cs="Times New Roman"/>
          <w:sz w:val="24"/>
          <w:szCs w:val="24"/>
        </w:rPr>
        <w:t>igure 1. Amplification plot for ARPE-19 with FAM dye. The selected APRE-19 sample is shown in the yellow box.</w:t>
      </w:r>
    </w:p>
    <w:p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5864860" cy="2959100"/>
            <wp:effectExtent l="0" t="0" r="254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878669" cy="29659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>
      <w:pPr>
        <w:rPr>
          <w:rFonts w:ascii="Times New Roman" w:hAnsi="Times New Roman" w:cs="Times New Roman"/>
          <w:sz w:val="24"/>
          <w:szCs w:val="24"/>
        </w:rPr>
      </w:pPr>
      <w:r>
        <w:rPr>
          <w:rFonts w:hint="eastAsia" w:ascii="Times New Roman" w:hAnsi="Times New Roman" w:cs="Times New Roman"/>
          <w:sz w:val="24"/>
          <w:szCs w:val="24"/>
        </w:rPr>
        <w:t>F</w:t>
      </w:r>
      <w:r>
        <w:rPr>
          <w:rFonts w:ascii="Times New Roman" w:hAnsi="Times New Roman" w:cs="Times New Roman"/>
          <w:sz w:val="24"/>
          <w:szCs w:val="24"/>
        </w:rPr>
        <w:t>igure 2. Amplification plot for ARPE-19 with ROX dye. The selected APRE-19 sample is shown in the yellow box.</w:t>
      </w:r>
    </w:p>
    <w:tbl>
      <w:tblPr>
        <w:tblStyle w:val="4"/>
        <w:tblW w:w="6720" w:type="dxa"/>
        <w:jc w:val="center"/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980"/>
        <w:gridCol w:w="2121"/>
        <w:gridCol w:w="2619"/>
      </w:tblGrid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0" w:hRule="atLeast"/>
          <w:jc w:val="center"/>
        </w:trPr>
        <w:tc>
          <w:tcPr>
            <w:tcW w:w="6720" w:type="dxa"/>
            <w:gridSpan w:val="3"/>
            <w:tcBorders>
              <w:top w:val="single" w:color="FFFFFF" w:sz="8" w:space="0"/>
              <w:left w:val="single" w:color="FFFFFF" w:sz="8" w:space="0"/>
              <w:bottom w:val="nil"/>
              <w:right w:val="nil"/>
            </w:tcBorders>
            <w:shd w:val="clear" w:color="auto" w:fill="auto"/>
            <w:vAlign w:val="center"/>
          </w:tcPr>
          <w:p>
            <w:pPr>
              <w:widowControl/>
              <w:rPr>
                <w:rFonts w:ascii="Times New Roman" w:hAnsi="Times New Roman" w:eastAsia="等线" w:cs="Times New Roman"/>
                <w:color w:val="000000"/>
                <w:kern w:val="0"/>
                <w:sz w:val="24"/>
                <w:szCs w:val="24"/>
              </w:rPr>
            </w:pPr>
            <w:r>
              <w:rPr>
                <w:rFonts w:ascii="Times New Roman" w:hAnsi="Times New Roman" w:eastAsia="等线" w:cs="Times New Roman"/>
                <w:color w:val="000000"/>
                <w:kern w:val="0"/>
                <w:sz w:val="24"/>
                <w:szCs w:val="24"/>
              </w:rPr>
              <w:t>Table 1 Test for mycoplasma contamination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0" w:hRule="atLeast"/>
          <w:jc w:val="center"/>
        </w:trPr>
        <w:tc>
          <w:tcPr>
            <w:tcW w:w="1980" w:type="dxa"/>
            <w:tcBorders>
              <w:top w:val="single" w:color="auto" w:sz="4" w:space="0"/>
              <w:left w:val="single" w:color="FFFFFF" w:sz="8" w:space="0"/>
              <w:bottom w:val="single" w:color="auto" w:sz="4" w:space="0"/>
              <w:right w:val="single" w:color="FFFFFF" w:sz="8" w:space="0"/>
            </w:tcBorders>
            <w:shd w:val="clear" w:color="auto" w:fill="auto"/>
            <w:vAlign w:val="center"/>
          </w:tcPr>
          <w:p>
            <w:pPr>
              <w:widowControl/>
              <w:jc w:val="left"/>
              <w:rPr>
                <w:rFonts w:ascii="Times New Roman" w:hAnsi="Times New Roman" w:eastAsia="等线" w:cs="Times New Roman"/>
                <w:b/>
                <w:bCs/>
                <w:color w:val="000000"/>
                <w:kern w:val="0"/>
                <w:sz w:val="24"/>
                <w:szCs w:val="24"/>
              </w:rPr>
            </w:pPr>
            <w:r>
              <w:rPr>
                <w:rFonts w:ascii="Times New Roman" w:hAnsi="Times New Roman" w:eastAsia="等线" w:cs="Times New Roman"/>
                <w:b/>
                <w:bCs/>
                <w:color w:val="000000"/>
                <w:kern w:val="0"/>
                <w:sz w:val="24"/>
                <w:szCs w:val="24"/>
              </w:rPr>
              <w:t>Sample</w:t>
            </w:r>
          </w:p>
        </w:tc>
        <w:tc>
          <w:tcPr>
            <w:tcW w:w="2121" w:type="dxa"/>
            <w:tcBorders>
              <w:top w:val="single" w:color="auto" w:sz="4" w:space="0"/>
              <w:left w:val="nil"/>
              <w:bottom w:val="single" w:color="auto" w:sz="4" w:space="0"/>
              <w:right w:val="single" w:color="FFFFFF" w:sz="8" w:space="0"/>
            </w:tcBorders>
            <w:shd w:val="clear" w:color="auto" w:fill="auto"/>
            <w:vAlign w:val="center"/>
          </w:tcPr>
          <w:p>
            <w:pPr>
              <w:widowControl/>
              <w:jc w:val="left"/>
              <w:rPr>
                <w:rFonts w:ascii="Times New Roman" w:hAnsi="Times New Roman" w:eastAsia="等线" w:cs="Times New Roman"/>
                <w:b/>
                <w:bCs/>
                <w:color w:val="000000"/>
                <w:kern w:val="0"/>
                <w:sz w:val="24"/>
                <w:szCs w:val="24"/>
              </w:rPr>
            </w:pPr>
            <w:bookmarkStart w:id="0" w:name="RANGE!B2"/>
            <w:r>
              <w:rPr>
                <w:rFonts w:ascii="Times New Roman" w:hAnsi="Times New Roman" w:eastAsia="等线" w:cs="Times New Roman"/>
                <w:b/>
                <w:bCs/>
                <w:color w:val="000000"/>
                <w:kern w:val="0"/>
                <w:sz w:val="24"/>
                <w:szCs w:val="24"/>
              </w:rPr>
              <w:t>FAM</w:t>
            </w:r>
            <w:r>
              <w:rPr>
                <w:rFonts w:ascii="Times New Roman" w:hAnsi="Times New Roman" w:eastAsia="等线" w:cs="Times New Roman"/>
                <w:color w:val="000000"/>
                <w:kern w:val="0"/>
                <w:szCs w:val="21"/>
              </w:rPr>
              <w:t xml:space="preserve"> </w:t>
            </w:r>
            <w:r>
              <w:rPr>
                <w:rFonts w:ascii="Times New Roman" w:hAnsi="Times New Roman" w:eastAsia="等线" w:cs="Times New Roman"/>
                <w:b/>
                <w:bCs/>
                <w:color w:val="000000"/>
                <w:kern w:val="0"/>
                <w:sz w:val="24"/>
                <w:szCs w:val="24"/>
              </w:rPr>
              <w:t>dye</w:t>
            </w:r>
            <w:bookmarkEnd w:id="0"/>
          </w:p>
        </w:tc>
        <w:tc>
          <w:tcPr>
            <w:tcW w:w="2619" w:type="dxa"/>
            <w:tcBorders>
              <w:top w:val="single" w:color="auto" w:sz="4" w:space="0"/>
              <w:left w:val="nil"/>
              <w:bottom w:val="single" w:color="auto" w:sz="4" w:space="0"/>
              <w:right w:val="single" w:color="FFFFFF" w:sz="8" w:space="0"/>
            </w:tcBorders>
            <w:shd w:val="clear" w:color="auto" w:fill="auto"/>
            <w:vAlign w:val="center"/>
          </w:tcPr>
          <w:p>
            <w:pPr>
              <w:widowControl/>
              <w:jc w:val="left"/>
              <w:rPr>
                <w:rFonts w:ascii="Times New Roman" w:hAnsi="Times New Roman" w:eastAsia="等线" w:cs="Times New Roman"/>
                <w:b/>
                <w:bCs/>
                <w:color w:val="000000"/>
                <w:kern w:val="0"/>
                <w:sz w:val="24"/>
                <w:szCs w:val="24"/>
              </w:rPr>
            </w:pPr>
            <w:bookmarkStart w:id="1" w:name="RANGE!C2"/>
            <w:r>
              <w:rPr>
                <w:rFonts w:ascii="Times New Roman" w:hAnsi="Times New Roman" w:eastAsia="等线" w:cs="Times New Roman"/>
                <w:b/>
                <w:bCs/>
                <w:color w:val="000000"/>
                <w:kern w:val="0"/>
                <w:sz w:val="24"/>
                <w:szCs w:val="24"/>
              </w:rPr>
              <w:t>ROX</w:t>
            </w:r>
            <w:r>
              <w:rPr>
                <w:rFonts w:ascii="Times New Roman" w:hAnsi="Times New Roman" w:eastAsia="等线" w:cs="Times New Roman"/>
                <w:color w:val="000000"/>
                <w:kern w:val="0"/>
                <w:szCs w:val="21"/>
              </w:rPr>
              <w:t xml:space="preserve"> </w:t>
            </w:r>
            <w:r>
              <w:rPr>
                <w:rFonts w:ascii="Times New Roman" w:hAnsi="Times New Roman" w:eastAsia="等线" w:cs="Times New Roman"/>
                <w:b/>
                <w:bCs/>
                <w:color w:val="000000"/>
                <w:kern w:val="0"/>
                <w:sz w:val="24"/>
                <w:szCs w:val="24"/>
              </w:rPr>
              <w:t>dye</w:t>
            </w:r>
            <w:bookmarkEnd w:id="1"/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0" w:hRule="atLeast"/>
          <w:jc w:val="center"/>
        </w:trPr>
        <w:tc>
          <w:tcPr>
            <w:tcW w:w="1980" w:type="dxa"/>
            <w:tcBorders>
              <w:top w:val="nil"/>
              <w:left w:val="single" w:color="FFFFFF" w:sz="8" w:space="0"/>
              <w:bottom w:val="single" w:color="FFFFFF" w:sz="8" w:space="0"/>
              <w:right w:val="single" w:color="FFFFFF" w:sz="8" w:space="0"/>
            </w:tcBorders>
            <w:shd w:val="clear" w:color="auto" w:fill="auto"/>
            <w:vAlign w:val="center"/>
          </w:tcPr>
          <w:p>
            <w:pPr>
              <w:widowControl/>
              <w:jc w:val="left"/>
              <w:rPr>
                <w:rFonts w:ascii="Times New Roman" w:hAnsi="Times New Roman" w:eastAsia="等线" w:cs="Times New Roman"/>
                <w:color w:val="000000"/>
                <w:kern w:val="0"/>
                <w:sz w:val="24"/>
                <w:szCs w:val="24"/>
              </w:rPr>
            </w:pPr>
            <w:r>
              <w:rPr>
                <w:rFonts w:ascii="Times New Roman" w:hAnsi="Times New Roman" w:eastAsia="等线" w:cs="Times New Roman"/>
                <w:color w:val="000000"/>
                <w:kern w:val="0"/>
                <w:sz w:val="24"/>
                <w:szCs w:val="24"/>
              </w:rPr>
              <w:t>Positive control</w:t>
            </w:r>
          </w:p>
        </w:tc>
        <w:tc>
          <w:tcPr>
            <w:tcW w:w="2121" w:type="dxa"/>
            <w:tcBorders>
              <w:top w:val="nil"/>
              <w:left w:val="nil"/>
              <w:bottom w:val="single" w:color="FFFFFF" w:sz="8" w:space="0"/>
              <w:right w:val="single" w:color="FFFFFF" w:sz="8" w:space="0"/>
            </w:tcBorders>
            <w:shd w:val="clear" w:color="auto" w:fill="auto"/>
            <w:vAlign w:val="center"/>
          </w:tcPr>
          <w:p>
            <w:pPr>
              <w:widowControl/>
              <w:jc w:val="left"/>
              <w:rPr>
                <w:rFonts w:ascii="Times New Roman" w:hAnsi="Times New Roman" w:eastAsia="等线" w:cs="Times New Roman"/>
                <w:color w:val="000000"/>
                <w:kern w:val="0"/>
                <w:sz w:val="24"/>
                <w:szCs w:val="24"/>
              </w:rPr>
            </w:pPr>
            <w:r>
              <w:rPr>
                <w:rFonts w:ascii="Times New Roman" w:hAnsi="Times New Roman" w:eastAsia="等线" w:cs="Times New Roman"/>
                <w:color w:val="000000"/>
                <w:kern w:val="0"/>
                <w:sz w:val="24"/>
                <w:szCs w:val="24"/>
              </w:rPr>
              <w:t>Amplification</w:t>
            </w:r>
          </w:p>
        </w:tc>
        <w:tc>
          <w:tcPr>
            <w:tcW w:w="2619" w:type="dxa"/>
            <w:tcBorders>
              <w:top w:val="nil"/>
              <w:left w:val="nil"/>
              <w:bottom w:val="single" w:color="FFFFFF" w:sz="8" w:space="0"/>
              <w:right w:val="single" w:color="FFFFFF" w:sz="8" w:space="0"/>
            </w:tcBorders>
            <w:shd w:val="clear" w:color="auto" w:fill="auto"/>
            <w:vAlign w:val="center"/>
          </w:tcPr>
          <w:p>
            <w:pPr>
              <w:widowControl/>
              <w:jc w:val="left"/>
              <w:rPr>
                <w:rFonts w:ascii="Times New Roman" w:hAnsi="Times New Roman" w:eastAsia="等线" w:cs="Times New Roman"/>
                <w:color w:val="000000"/>
                <w:kern w:val="0"/>
                <w:sz w:val="24"/>
                <w:szCs w:val="24"/>
              </w:rPr>
            </w:pPr>
            <w:r>
              <w:rPr>
                <w:rFonts w:ascii="Times New Roman" w:hAnsi="Times New Roman" w:eastAsia="等线" w:cs="Times New Roman"/>
                <w:color w:val="000000"/>
                <w:kern w:val="0"/>
                <w:sz w:val="24"/>
                <w:szCs w:val="24"/>
              </w:rPr>
              <w:t>Amplification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0" w:hRule="atLeast"/>
          <w:jc w:val="center"/>
        </w:trPr>
        <w:tc>
          <w:tcPr>
            <w:tcW w:w="1980" w:type="dxa"/>
            <w:tcBorders>
              <w:top w:val="nil"/>
              <w:left w:val="single" w:color="FFFFFF" w:sz="8" w:space="0"/>
              <w:bottom w:val="single" w:color="FFFFFF" w:sz="8" w:space="0"/>
              <w:right w:val="single" w:color="FFFFFF" w:sz="8" w:space="0"/>
            </w:tcBorders>
            <w:shd w:val="clear" w:color="auto" w:fill="auto"/>
            <w:vAlign w:val="center"/>
          </w:tcPr>
          <w:p>
            <w:pPr>
              <w:widowControl/>
              <w:jc w:val="left"/>
              <w:rPr>
                <w:rFonts w:ascii="Times New Roman" w:hAnsi="Times New Roman" w:eastAsia="等线" w:cs="Times New Roman"/>
                <w:color w:val="000000"/>
                <w:kern w:val="0"/>
                <w:sz w:val="24"/>
                <w:szCs w:val="24"/>
              </w:rPr>
            </w:pPr>
            <w:r>
              <w:rPr>
                <w:rFonts w:ascii="Times New Roman" w:hAnsi="Times New Roman" w:eastAsia="等线" w:cs="Times New Roman"/>
                <w:color w:val="000000"/>
                <w:kern w:val="0"/>
                <w:sz w:val="24"/>
                <w:szCs w:val="24"/>
              </w:rPr>
              <w:t>Negative control</w:t>
            </w:r>
          </w:p>
        </w:tc>
        <w:tc>
          <w:tcPr>
            <w:tcW w:w="2121" w:type="dxa"/>
            <w:tcBorders>
              <w:top w:val="nil"/>
              <w:left w:val="nil"/>
              <w:bottom w:val="single" w:color="FFFFFF" w:sz="8" w:space="0"/>
              <w:right w:val="single" w:color="FFFFFF" w:sz="8" w:space="0"/>
            </w:tcBorders>
            <w:shd w:val="clear" w:color="auto" w:fill="auto"/>
            <w:vAlign w:val="center"/>
          </w:tcPr>
          <w:p>
            <w:pPr>
              <w:widowControl/>
              <w:jc w:val="left"/>
              <w:rPr>
                <w:rFonts w:ascii="Times New Roman" w:hAnsi="Times New Roman" w:eastAsia="等线" w:cs="Times New Roman"/>
                <w:color w:val="000000"/>
                <w:kern w:val="0"/>
                <w:sz w:val="24"/>
                <w:szCs w:val="24"/>
              </w:rPr>
            </w:pPr>
            <w:r>
              <w:rPr>
                <w:rFonts w:ascii="Times New Roman" w:hAnsi="Times New Roman" w:eastAsia="等线" w:cs="Times New Roman"/>
                <w:color w:val="000000"/>
                <w:kern w:val="0"/>
                <w:sz w:val="24"/>
                <w:szCs w:val="24"/>
              </w:rPr>
              <w:t>No amplification</w:t>
            </w:r>
          </w:p>
        </w:tc>
        <w:tc>
          <w:tcPr>
            <w:tcW w:w="2619" w:type="dxa"/>
            <w:tcBorders>
              <w:top w:val="nil"/>
              <w:left w:val="nil"/>
              <w:bottom w:val="single" w:color="FFFFFF" w:sz="8" w:space="0"/>
              <w:right w:val="single" w:color="FFFFFF" w:sz="8" w:space="0"/>
            </w:tcBorders>
            <w:shd w:val="clear" w:color="auto" w:fill="auto"/>
            <w:vAlign w:val="center"/>
          </w:tcPr>
          <w:p>
            <w:pPr>
              <w:widowControl/>
              <w:jc w:val="left"/>
              <w:rPr>
                <w:rFonts w:ascii="Times New Roman" w:hAnsi="Times New Roman" w:eastAsia="等线" w:cs="Times New Roman"/>
                <w:color w:val="000000"/>
                <w:kern w:val="0"/>
                <w:sz w:val="24"/>
                <w:szCs w:val="24"/>
              </w:rPr>
            </w:pPr>
            <w:r>
              <w:rPr>
                <w:rFonts w:ascii="Times New Roman" w:hAnsi="Times New Roman" w:eastAsia="等线" w:cs="Times New Roman"/>
                <w:color w:val="000000"/>
                <w:kern w:val="0"/>
                <w:sz w:val="24"/>
                <w:szCs w:val="24"/>
              </w:rPr>
              <w:t>No amplification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0" w:hRule="atLeast"/>
          <w:jc w:val="center"/>
        </w:trPr>
        <w:tc>
          <w:tcPr>
            <w:tcW w:w="1980" w:type="dxa"/>
            <w:tcBorders>
              <w:top w:val="nil"/>
              <w:left w:val="single" w:color="FFFFFF" w:sz="8" w:space="0"/>
              <w:bottom w:val="single" w:color="auto" w:sz="4" w:space="0"/>
              <w:right w:val="single" w:color="FFFFFF" w:sz="8" w:space="0"/>
            </w:tcBorders>
            <w:shd w:val="clear" w:color="auto" w:fill="auto"/>
            <w:vAlign w:val="center"/>
          </w:tcPr>
          <w:p>
            <w:pPr>
              <w:widowControl/>
              <w:jc w:val="left"/>
              <w:rPr>
                <w:rFonts w:ascii="Times New Roman" w:hAnsi="Times New Roman" w:eastAsia="等线" w:cs="Times New Roman"/>
                <w:color w:val="000000"/>
                <w:kern w:val="0"/>
                <w:sz w:val="24"/>
                <w:szCs w:val="24"/>
              </w:rPr>
            </w:pPr>
            <w:r>
              <w:rPr>
                <w:rFonts w:ascii="Times New Roman" w:hAnsi="Times New Roman" w:eastAsia="等线" w:cs="Times New Roman"/>
                <w:color w:val="000000"/>
                <w:kern w:val="0"/>
                <w:sz w:val="24"/>
                <w:szCs w:val="24"/>
              </w:rPr>
              <w:t>ARPE-19</w:t>
            </w:r>
          </w:p>
        </w:tc>
        <w:tc>
          <w:tcPr>
            <w:tcW w:w="2121" w:type="dxa"/>
            <w:tcBorders>
              <w:top w:val="nil"/>
              <w:left w:val="nil"/>
              <w:bottom w:val="single" w:color="auto" w:sz="4" w:space="0"/>
              <w:right w:val="single" w:color="FFFFFF" w:sz="8" w:space="0"/>
            </w:tcBorders>
            <w:shd w:val="clear" w:color="auto" w:fill="auto"/>
            <w:vAlign w:val="center"/>
          </w:tcPr>
          <w:p>
            <w:pPr>
              <w:widowControl/>
              <w:jc w:val="left"/>
              <w:rPr>
                <w:rFonts w:ascii="Times New Roman" w:hAnsi="Times New Roman" w:eastAsia="等线" w:cs="Times New Roman"/>
                <w:color w:val="000000"/>
                <w:kern w:val="0"/>
                <w:sz w:val="24"/>
                <w:szCs w:val="24"/>
              </w:rPr>
            </w:pPr>
            <w:r>
              <w:rPr>
                <w:rFonts w:ascii="Times New Roman" w:hAnsi="Times New Roman" w:eastAsia="等线" w:cs="Times New Roman"/>
                <w:color w:val="000000"/>
                <w:kern w:val="0"/>
                <w:sz w:val="24"/>
                <w:szCs w:val="24"/>
              </w:rPr>
              <w:t>No amplification</w:t>
            </w:r>
          </w:p>
        </w:tc>
        <w:tc>
          <w:tcPr>
            <w:tcW w:w="2619" w:type="dxa"/>
            <w:tcBorders>
              <w:top w:val="nil"/>
              <w:left w:val="nil"/>
              <w:bottom w:val="single" w:color="auto" w:sz="4" w:space="0"/>
              <w:right w:val="single" w:color="FFFFFF" w:sz="8" w:space="0"/>
            </w:tcBorders>
            <w:shd w:val="clear" w:color="auto" w:fill="auto"/>
            <w:vAlign w:val="center"/>
          </w:tcPr>
          <w:p>
            <w:pPr>
              <w:widowControl/>
              <w:jc w:val="left"/>
              <w:rPr>
                <w:rFonts w:ascii="Times New Roman" w:hAnsi="Times New Roman" w:eastAsia="等线" w:cs="Times New Roman"/>
                <w:color w:val="000000"/>
                <w:kern w:val="0"/>
                <w:sz w:val="24"/>
                <w:szCs w:val="24"/>
              </w:rPr>
            </w:pPr>
            <w:r>
              <w:rPr>
                <w:rFonts w:ascii="Times New Roman" w:hAnsi="Times New Roman" w:eastAsia="等线" w:cs="Times New Roman"/>
                <w:color w:val="000000"/>
                <w:kern w:val="0"/>
                <w:sz w:val="24"/>
                <w:szCs w:val="24"/>
              </w:rPr>
              <w:t>No amplification</w:t>
            </w:r>
          </w:p>
        </w:tc>
      </w:tr>
    </w:tbl>
    <w:p>
      <w:pPr>
        <w:rPr>
          <w:rFonts w:hint="eastAsia" w:ascii="Times New Roman" w:hAnsi="Times New Roman" w:cs="Times New Roman"/>
          <w:sz w:val="24"/>
          <w:szCs w:val="24"/>
        </w:rPr>
      </w:pPr>
    </w:p>
    <w:sectPr>
      <w:pgSz w:w="11906" w:h="16838"/>
      <w:pgMar w:top="1440" w:right="1080" w:bottom="1440" w:left="108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00814"/>
    <w:rsid w:val="00000814"/>
    <w:rsid w:val="001D0E86"/>
    <w:rsid w:val="002901F4"/>
    <w:rsid w:val="00300771"/>
    <w:rsid w:val="0058657B"/>
    <w:rsid w:val="00586B1A"/>
    <w:rsid w:val="008C4C82"/>
    <w:rsid w:val="00970991"/>
    <w:rsid w:val="00BD663E"/>
    <w:rsid w:val="00E75438"/>
    <w:rsid w:val="513A6A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semiHidden/>
    <w:unhideWhenUsed/>
    <w:qFormat/>
    <w:uiPriority w:val="1"/>
  </w:style>
  <w:style w:type="table" w:default="1" w:styleId="4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6">
    <w:name w:val="页眉 字符"/>
    <w:basedOn w:val="5"/>
    <w:link w:val="3"/>
    <w:uiPriority w:val="99"/>
    <w:rPr>
      <w:sz w:val="18"/>
      <w:szCs w:val="18"/>
    </w:rPr>
  </w:style>
  <w:style w:type="character" w:customStyle="1" w:styleId="7">
    <w:name w:val="页脚 字符"/>
    <w:basedOn w:val="5"/>
    <w:link w:val="2"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1</Pages>
  <Words>103</Words>
  <Characters>591</Characters>
  <Lines>4</Lines>
  <Paragraphs>1</Paragraphs>
  <TotalTime>30</TotalTime>
  <ScaleCrop>false</ScaleCrop>
  <LinksUpToDate>false</LinksUpToDate>
  <CharactersWithSpaces>676</CharactersWithSpaces>
  <Application>WPS Office_11.1.0.13703_F1E327BC-269C-435d-A152-05C5408002CA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2023-03-07T03:58:00Z</dcterms:created>
  <dc:creator>赵雪茹</dc:creator>
  <cp:lastModifiedBy>lenovo</cp:lastModifiedBy>
  <dcterms:modified xsi:type="dcterms:W3CDTF">2023-03-07T05:56:04Z</dcterms:modified>
  <cp:revision>7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2052-11.1.0.13703</vt:lpwstr>
  </property>
  <property fmtid="{D5CDD505-2E9C-101B-9397-08002B2CF9AE}" pid="3" name="ICV">
    <vt:lpwstr>5578162D82FD4349AE2818156033A359</vt:lpwstr>
  </property>
</Properties>
</file>